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F2" w:rsidRPr="00D96DF2" w:rsidRDefault="00D96DF2" w:rsidP="00D96DF2">
      <w:pPr>
        <w:spacing w:after="16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GB"/>
        </w:rPr>
      </w:pPr>
      <w:proofErr w:type="gramStart"/>
      <w:r w:rsidRPr="00D96DF2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 xml:space="preserve">TABLE 3: </w:t>
      </w:r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 xml:space="preserve">Comparison of biomarkers in participants with significant fibrosis and those without as defined by the </w:t>
      </w:r>
      <w:proofErr w:type="spellStart"/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>FibroTest</w:t>
      </w:r>
      <w:proofErr w:type="spellEnd"/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>.</w:t>
      </w:r>
      <w:proofErr w:type="gram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56"/>
        <w:gridCol w:w="1214"/>
        <w:gridCol w:w="1800"/>
        <w:gridCol w:w="1170"/>
        <w:gridCol w:w="1530"/>
      </w:tblGrid>
      <w:tr w:rsidR="00D96DF2" w:rsidRPr="00D96DF2" w:rsidTr="00177A7B">
        <w:trPr>
          <w:trHeight w:val="500"/>
        </w:trPr>
        <w:tc>
          <w:tcPr>
            <w:tcW w:w="2160" w:type="dxa"/>
            <w:vMerge w:val="restart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Variable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Participants with no fibrosis (</w:t>
            </w: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n</w:t>
            </w: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= 63)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Participants with fibrosis (</w:t>
            </w: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n</w:t>
            </w: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= 16)</w:t>
            </w:r>
          </w:p>
        </w:tc>
        <w:tc>
          <w:tcPr>
            <w:tcW w:w="1530" w:type="dxa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p</w:t>
            </w:r>
          </w:p>
        </w:tc>
      </w:tr>
      <w:tr w:rsidR="00D96DF2" w:rsidRPr="00D96DF2" w:rsidTr="00177A7B">
        <w:trPr>
          <w:trHeight w:val="404"/>
        </w:trPr>
        <w:tc>
          <w:tcPr>
            <w:tcW w:w="2160" w:type="dxa"/>
            <w:vMerge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</w:p>
        </w:tc>
        <w:tc>
          <w:tcPr>
            <w:tcW w:w="1756" w:type="dxa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Median </w:t>
            </w:r>
          </w:p>
        </w:tc>
        <w:tc>
          <w:tcPr>
            <w:tcW w:w="1214" w:type="dxa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IQR</w:t>
            </w:r>
          </w:p>
        </w:tc>
        <w:tc>
          <w:tcPr>
            <w:tcW w:w="1800" w:type="dxa"/>
            <w:shd w:val="clear" w:color="auto" w:fill="FFFFFF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 xml:space="preserve">Median </w:t>
            </w:r>
          </w:p>
        </w:tc>
        <w:tc>
          <w:tcPr>
            <w:tcW w:w="1170" w:type="dxa"/>
            <w:shd w:val="clear" w:color="auto" w:fill="FFFFFF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>IQR</w:t>
            </w:r>
          </w:p>
        </w:tc>
        <w:tc>
          <w:tcPr>
            <w:tcW w:w="1530" w:type="dxa"/>
            <w:shd w:val="clear" w:color="auto" w:fill="FFFFFF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</w:pPr>
          </w:p>
        </w:tc>
      </w:tr>
      <w:tr w:rsidR="00D96DF2" w:rsidRPr="00D96DF2" w:rsidTr="00177A7B">
        <w:trPr>
          <w:trHeight w:val="183"/>
        </w:trPr>
        <w:tc>
          <w:tcPr>
            <w:tcW w:w="216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AST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28 </w:t>
            </w:r>
          </w:p>
        </w:tc>
        <w:tc>
          <w:tcPr>
            <w:tcW w:w="12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24–37</w:t>
            </w:r>
          </w:p>
        </w:tc>
        <w:tc>
          <w:tcPr>
            <w:tcW w:w="180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33 </w:t>
            </w:r>
          </w:p>
        </w:tc>
        <w:tc>
          <w:tcPr>
            <w:tcW w:w="117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27–39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0.366</w:t>
            </w:r>
          </w:p>
        </w:tc>
      </w:tr>
      <w:tr w:rsidR="00D96DF2" w:rsidRPr="00D96DF2" w:rsidTr="00177A7B">
        <w:trPr>
          <w:trHeight w:val="69"/>
        </w:trPr>
        <w:tc>
          <w:tcPr>
            <w:tcW w:w="216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ALT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24 </w:t>
            </w:r>
          </w:p>
        </w:tc>
        <w:tc>
          <w:tcPr>
            <w:tcW w:w="12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16–36</w:t>
            </w:r>
          </w:p>
        </w:tc>
        <w:tc>
          <w:tcPr>
            <w:tcW w:w="180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22 </w:t>
            </w:r>
          </w:p>
        </w:tc>
        <w:tc>
          <w:tcPr>
            <w:tcW w:w="117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16–31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0.696</w:t>
            </w:r>
          </w:p>
        </w:tc>
      </w:tr>
      <w:tr w:rsidR="00D96DF2" w:rsidRPr="00D96DF2" w:rsidTr="00177A7B">
        <w:trPr>
          <w:trHeight w:val="69"/>
        </w:trPr>
        <w:tc>
          <w:tcPr>
            <w:tcW w:w="216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GGT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39 </w:t>
            </w:r>
          </w:p>
        </w:tc>
        <w:tc>
          <w:tcPr>
            <w:tcW w:w="12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25–59</w:t>
            </w:r>
          </w:p>
        </w:tc>
        <w:tc>
          <w:tcPr>
            <w:tcW w:w="180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51 </w:t>
            </w:r>
          </w:p>
        </w:tc>
        <w:tc>
          <w:tcPr>
            <w:tcW w:w="117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29–75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0.566</w:t>
            </w:r>
          </w:p>
        </w:tc>
      </w:tr>
      <w:tr w:rsidR="00D96DF2" w:rsidRPr="00D96DF2" w:rsidTr="00177A7B">
        <w:trPr>
          <w:trHeight w:val="834"/>
        </w:trPr>
        <w:tc>
          <w:tcPr>
            <w:tcW w:w="216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TBil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(</w:t>
            </w: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sym w:font="Symbol" w:char="F06D"/>
            </w: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mol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5 </w:t>
            </w:r>
          </w:p>
        </w:tc>
        <w:tc>
          <w:tcPr>
            <w:tcW w:w="12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4–7</w:t>
            </w:r>
          </w:p>
        </w:tc>
        <w:tc>
          <w:tcPr>
            <w:tcW w:w="180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7 </w:t>
            </w:r>
          </w:p>
        </w:tc>
        <w:tc>
          <w:tcPr>
            <w:tcW w:w="117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5–46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  <w:t>0.029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0.203*</w:t>
            </w:r>
          </w:p>
        </w:tc>
      </w:tr>
      <w:tr w:rsidR="00D96DF2" w:rsidRPr="00D96DF2" w:rsidTr="00177A7B">
        <w:trPr>
          <w:trHeight w:val="834"/>
        </w:trPr>
        <w:tc>
          <w:tcPr>
            <w:tcW w:w="216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Apo A-1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0.94 </w:t>
            </w:r>
          </w:p>
        </w:tc>
        <w:tc>
          <w:tcPr>
            <w:tcW w:w="12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0.53–1.58</w:t>
            </w:r>
          </w:p>
        </w:tc>
        <w:tc>
          <w:tcPr>
            <w:tcW w:w="180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1.38 </w:t>
            </w:r>
          </w:p>
        </w:tc>
        <w:tc>
          <w:tcPr>
            <w:tcW w:w="117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0.47–1.66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0.579</w:t>
            </w:r>
          </w:p>
        </w:tc>
      </w:tr>
      <w:tr w:rsidR="00D96DF2" w:rsidRPr="00D96DF2" w:rsidTr="00177A7B">
        <w:trPr>
          <w:trHeight w:val="834"/>
        </w:trPr>
        <w:tc>
          <w:tcPr>
            <w:tcW w:w="216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76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Haptoglobin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0.037 </w:t>
            </w:r>
          </w:p>
        </w:tc>
        <w:tc>
          <w:tcPr>
            <w:tcW w:w="12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0.012–0.064</w:t>
            </w:r>
          </w:p>
        </w:tc>
        <w:tc>
          <w:tcPr>
            <w:tcW w:w="180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0.019 </w:t>
            </w:r>
          </w:p>
        </w:tc>
        <w:tc>
          <w:tcPr>
            <w:tcW w:w="117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0.003–0.065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0.542</w:t>
            </w:r>
          </w:p>
        </w:tc>
      </w:tr>
      <w:tr w:rsidR="00D96DF2" w:rsidRPr="00D96DF2" w:rsidTr="00177A7B">
        <w:trPr>
          <w:trHeight w:val="834"/>
        </w:trPr>
        <w:tc>
          <w:tcPr>
            <w:tcW w:w="216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A-2M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75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0.196 </w:t>
            </w:r>
          </w:p>
        </w:tc>
        <w:tc>
          <w:tcPr>
            <w:tcW w:w="12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0.092–0.811</w:t>
            </w:r>
          </w:p>
        </w:tc>
        <w:tc>
          <w:tcPr>
            <w:tcW w:w="180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1.501 </w:t>
            </w:r>
          </w:p>
        </w:tc>
        <w:tc>
          <w:tcPr>
            <w:tcW w:w="117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1.065–2.893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&lt; 0.001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&lt; 0.001*</w:t>
            </w:r>
          </w:p>
        </w:tc>
      </w:tr>
    </w:tbl>
    <w:p w:rsidR="00D96DF2" w:rsidRPr="00D96DF2" w:rsidRDefault="00D96DF2" w:rsidP="00D96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  <w:tab w:val="left" w:pos="540"/>
          <w:tab w:val="left" w:pos="810"/>
        </w:tabs>
        <w:spacing w:after="0" w:line="240" w:lineRule="auto"/>
        <w:ind w:right="38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</w:pPr>
      <w:proofErr w:type="spellStart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TBil</w:t>
      </w:r>
      <w:proofErr w:type="spellEnd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, total bilirubin; GGT, g-</w:t>
      </w:r>
      <w:proofErr w:type="spellStart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glutamyl</w:t>
      </w:r>
      <w:proofErr w:type="spellEnd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 transferase; </w:t>
      </w:r>
      <w:r w:rsidRPr="00D96DF2">
        <w:rPr>
          <w:rFonts w:ascii="Calibri" w:eastAsia="+mn-ea" w:hAnsi="Calibri" w:cs="Calibri"/>
          <w:bCs/>
          <w:color w:val="000000"/>
          <w:kern w:val="24"/>
          <w:sz w:val="20"/>
          <w:szCs w:val="20"/>
          <w:highlight w:val="lightGray"/>
          <w:u w:color="000000"/>
          <w:bdr w:val="nil"/>
          <w:lang w:val="en-GB"/>
        </w:rPr>
        <w:t xml:space="preserve">AST, aspartate aminotransferase; ALT, alanine aminotransferase; </w:t>
      </w: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Apo A-1, apolipoprotein A-1; A-2M, alpha-2 macroglobulin; IQR, interquartile range; </w:t>
      </w:r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IU/L, </w:t>
      </w:r>
      <w:r w:rsidRPr="00D96DF2">
        <w:rPr>
          <w:rFonts w:ascii="Calibri" w:eastAsia="+mn-ea" w:hAnsi="Calibri" w:cs="Calibri"/>
          <w:bCs/>
          <w:color w:val="000000"/>
          <w:kern w:val="24"/>
          <w:sz w:val="20"/>
          <w:szCs w:val="20"/>
          <w:highlight w:val="lightGray"/>
          <w:u w:color="000000"/>
          <w:bdr w:val="nil"/>
          <w:lang w:val="en-GB"/>
        </w:rPr>
        <w:t>.</w:t>
      </w:r>
    </w:p>
    <w:p w:rsidR="00D96DF2" w:rsidRPr="00D96DF2" w:rsidRDefault="00D96DF2" w:rsidP="00D96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  <w:tab w:val="left" w:pos="540"/>
          <w:tab w:val="left" w:pos="810"/>
        </w:tabs>
        <w:spacing w:after="0" w:line="240" w:lineRule="auto"/>
        <w:ind w:right="38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GB"/>
        </w:rPr>
      </w:pP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*, Bonferroni adjusted </w:t>
      </w:r>
      <w:r w:rsidRPr="00D96DF2">
        <w:rPr>
          <w:rFonts w:ascii="Calibri" w:eastAsia="Calibri" w:hAnsi="Calibri" w:cs="Calibri"/>
          <w:i/>
          <w:color w:val="000000"/>
          <w:sz w:val="20"/>
          <w:szCs w:val="20"/>
          <w:highlight w:val="lightGray"/>
          <w:u w:color="000000"/>
          <w:bdr w:val="nil"/>
          <w:lang w:val="en-GB"/>
        </w:rPr>
        <w:t>p</w:t>
      </w: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-value</w:t>
      </w:r>
    </w:p>
    <w:p w:rsidR="00D96DF2" w:rsidRDefault="00D96DF2" w:rsidP="00D96DF2">
      <w:pPr>
        <w:rPr>
          <w:rFonts w:ascii="Palatino" w:eastAsia="Calibri" w:hAnsi="Palatino" w:cs="Times New Roman"/>
          <w:b/>
          <w:color w:val="000000"/>
          <w:sz w:val="24"/>
          <w:szCs w:val="24"/>
          <w:u w:color="000000"/>
          <w:bdr w:val="nil"/>
          <w:lang w:val="en-GB"/>
        </w:rPr>
      </w:pPr>
    </w:p>
    <w:p w:rsidR="00D96DF2" w:rsidRDefault="00D96DF2" w:rsidP="00D96DF2">
      <w:pPr>
        <w:rPr>
          <w:rFonts w:ascii="Palatino" w:eastAsia="Calibri" w:hAnsi="Palatino" w:cs="Times New Roman"/>
          <w:b/>
          <w:color w:val="000000"/>
          <w:sz w:val="24"/>
          <w:szCs w:val="24"/>
          <w:u w:color="000000"/>
          <w:bdr w:val="nil"/>
          <w:lang w:val="en-GB"/>
        </w:rPr>
      </w:pPr>
    </w:p>
    <w:p w:rsidR="00D96DF2" w:rsidRPr="00D96DF2" w:rsidRDefault="00D96DF2" w:rsidP="00D96DF2">
      <w:pPr>
        <w:spacing w:after="160" w:line="240" w:lineRule="auto"/>
        <w:rPr>
          <w:rFonts w:ascii="Calibri" w:eastAsia="Calibri" w:hAnsi="Calibri" w:cs="Calibri"/>
          <w:bCs/>
          <w:color w:val="000000"/>
          <w:sz w:val="20"/>
          <w:szCs w:val="20"/>
          <w:u w:color="000000"/>
          <w:bdr w:val="nil"/>
          <w:lang w:val="en-GB"/>
        </w:rPr>
      </w:pPr>
      <w:proofErr w:type="gramStart"/>
      <w:r w:rsidRPr="00D96DF2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>TABLE 4:</w:t>
      </w:r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 xml:space="preserve"> Comparison of biomarkers in participants with significant fibrosis and those without as defined by the </w:t>
      </w:r>
      <w:r w:rsidRPr="00D96DF2">
        <w:rPr>
          <w:rFonts w:ascii="Calibri" w:eastAsia="+mn-ea" w:hAnsi="Calibri" w:cs="Calibri"/>
          <w:bCs/>
          <w:color w:val="000000"/>
          <w:kern w:val="24"/>
          <w:sz w:val="20"/>
          <w:szCs w:val="20"/>
          <w:highlight w:val="yellow"/>
          <w:u w:color="000000"/>
          <w:bdr w:val="nil"/>
          <w:lang w:val="en-GB"/>
        </w:rPr>
        <w:t>aspartate aminotransferase to platelet ratio index</w:t>
      </w:r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yellow"/>
          <w:u w:color="000000"/>
          <w:bdr w:val="nil"/>
          <w:lang w:val="en-GB"/>
        </w:rPr>
        <w:t xml:space="preserve"> test.</w:t>
      </w:r>
      <w:proofErr w:type="gramEnd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66"/>
        <w:gridCol w:w="1414"/>
        <w:gridCol w:w="1537"/>
        <w:gridCol w:w="1343"/>
        <w:gridCol w:w="1530"/>
      </w:tblGrid>
      <w:tr w:rsidR="00D96DF2" w:rsidRPr="00D96DF2" w:rsidTr="00177A7B">
        <w:trPr>
          <w:trHeight w:val="465"/>
        </w:trPr>
        <w:tc>
          <w:tcPr>
            <w:tcW w:w="1980" w:type="dxa"/>
            <w:vMerge w:val="restart"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Variable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-104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Participants with no fibrosis (</w:t>
            </w: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n</w:t>
            </w: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= 68)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Participants with fibrosis (</w:t>
            </w: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n</w:t>
            </w:r>
            <w:r w:rsidRPr="00D96DF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= 11)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  <w:t>p</w:t>
            </w:r>
          </w:p>
        </w:tc>
      </w:tr>
      <w:tr w:rsidR="00D96DF2" w:rsidRPr="00D96DF2" w:rsidTr="00177A7B">
        <w:trPr>
          <w:trHeight w:val="439"/>
        </w:trPr>
        <w:tc>
          <w:tcPr>
            <w:tcW w:w="1980" w:type="dxa"/>
            <w:vMerge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</w:pPr>
          </w:p>
        </w:tc>
        <w:tc>
          <w:tcPr>
            <w:tcW w:w="1466" w:type="dxa"/>
            <w:shd w:val="clear" w:color="auto" w:fill="auto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 xml:space="preserve">Median </w:t>
            </w:r>
          </w:p>
        </w:tc>
        <w:tc>
          <w:tcPr>
            <w:tcW w:w="1414" w:type="dxa"/>
            <w:shd w:val="clear" w:color="auto" w:fill="auto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>IQR</w:t>
            </w:r>
          </w:p>
        </w:tc>
        <w:tc>
          <w:tcPr>
            <w:tcW w:w="1537" w:type="dxa"/>
            <w:shd w:val="clear" w:color="auto" w:fill="auto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 xml:space="preserve">Median </w:t>
            </w:r>
          </w:p>
        </w:tc>
        <w:tc>
          <w:tcPr>
            <w:tcW w:w="1343" w:type="dxa"/>
            <w:shd w:val="clear" w:color="auto" w:fill="auto"/>
          </w:tcPr>
          <w:p w:rsidR="00D96DF2" w:rsidRPr="00D96DF2" w:rsidRDefault="00D96DF2" w:rsidP="00D96DF2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96DF2">
              <w:rPr>
                <w:rFonts w:ascii="Calibri" w:eastAsia="Calibri" w:hAnsi="Calibri" w:cs="Times New Roman"/>
                <w:lang w:val="en-US"/>
              </w:rPr>
              <w:t>IQR</w:t>
            </w:r>
          </w:p>
        </w:tc>
        <w:tc>
          <w:tcPr>
            <w:tcW w:w="1530" w:type="dxa"/>
            <w:vMerge/>
            <w:shd w:val="clear" w:color="auto" w:fill="auto"/>
          </w:tcPr>
          <w:p w:rsidR="00D96DF2" w:rsidRPr="00D96DF2" w:rsidRDefault="00D96DF2" w:rsidP="00D96DF2">
            <w:pP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u w:color="000000"/>
                <w:lang w:val="en-GB"/>
              </w:rPr>
            </w:pPr>
          </w:p>
        </w:tc>
      </w:tr>
      <w:tr w:rsidR="00D96DF2" w:rsidRPr="00D96DF2" w:rsidTr="00177A7B">
        <w:trPr>
          <w:trHeight w:val="183"/>
        </w:trPr>
        <w:tc>
          <w:tcPr>
            <w:tcW w:w="198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AST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28 </w:t>
            </w:r>
          </w:p>
        </w:tc>
        <w:tc>
          <w:tcPr>
            <w:tcW w:w="14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23–36</w:t>
            </w:r>
          </w:p>
        </w:tc>
        <w:tc>
          <w:tcPr>
            <w:tcW w:w="1537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50 </w:t>
            </w:r>
          </w:p>
        </w:tc>
        <w:tc>
          <w:tcPr>
            <w:tcW w:w="1343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32–77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  <w:t>0.005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  <w:t>0.003*</w:t>
            </w:r>
          </w:p>
        </w:tc>
      </w:tr>
      <w:tr w:rsidR="00D96DF2" w:rsidRPr="00D96DF2" w:rsidTr="00177A7B">
        <w:trPr>
          <w:trHeight w:val="69"/>
        </w:trPr>
        <w:tc>
          <w:tcPr>
            <w:tcW w:w="198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ALT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22 </w:t>
            </w:r>
          </w:p>
        </w:tc>
        <w:tc>
          <w:tcPr>
            <w:tcW w:w="14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16–32</w:t>
            </w:r>
          </w:p>
        </w:tc>
        <w:tc>
          <w:tcPr>
            <w:tcW w:w="1537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31 </w:t>
            </w:r>
          </w:p>
        </w:tc>
        <w:tc>
          <w:tcPr>
            <w:tcW w:w="1343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19–73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0.151</w:t>
            </w:r>
          </w:p>
        </w:tc>
      </w:tr>
      <w:tr w:rsidR="00D96DF2" w:rsidRPr="00D96DF2" w:rsidTr="00177A7B">
        <w:trPr>
          <w:trHeight w:val="69"/>
        </w:trPr>
        <w:tc>
          <w:tcPr>
            <w:tcW w:w="198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GGT (IU/L)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38 </w:t>
            </w:r>
          </w:p>
        </w:tc>
        <w:tc>
          <w:tcPr>
            <w:tcW w:w="14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25–61</w:t>
            </w:r>
          </w:p>
        </w:tc>
        <w:tc>
          <w:tcPr>
            <w:tcW w:w="1537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53 </w:t>
            </w:r>
          </w:p>
        </w:tc>
        <w:tc>
          <w:tcPr>
            <w:tcW w:w="1343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36–102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0.266</w:t>
            </w:r>
          </w:p>
        </w:tc>
      </w:tr>
      <w:tr w:rsidR="00D96DF2" w:rsidRPr="00D96DF2" w:rsidTr="00177A7B">
        <w:trPr>
          <w:trHeight w:val="834"/>
        </w:trPr>
        <w:tc>
          <w:tcPr>
            <w:tcW w:w="198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TBil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(</w:t>
            </w: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umol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5 </w:t>
            </w:r>
          </w:p>
        </w:tc>
        <w:tc>
          <w:tcPr>
            <w:tcW w:w="14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4–7</w:t>
            </w:r>
          </w:p>
        </w:tc>
        <w:tc>
          <w:tcPr>
            <w:tcW w:w="1537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4 </w:t>
            </w:r>
          </w:p>
        </w:tc>
        <w:tc>
          <w:tcPr>
            <w:tcW w:w="1343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4–7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0.371</w:t>
            </w:r>
          </w:p>
        </w:tc>
      </w:tr>
      <w:tr w:rsidR="00D96DF2" w:rsidRPr="00D96DF2" w:rsidTr="00177A7B">
        <w:trPr>
          <w:trHeight w:val="834"/>
        </w:trPr>
        <w:tc>
          <w:tcPr>
            <w:tcW w:w="198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Apo A-1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0.926 </w:t>
            </w:r>
          </w:p>
        </w:tc>
        <w:tc>
          <w:tcPr>
            <w:tcW w:w="14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0.477–1.521</w:t>
            </w:r>
          </w:p>
        </w:tc>
        <w:tc>
          <w:tcPr>
            <w:tcW w:w="1537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1.585 </w:t>
            </w:r>
          </w:p>
        </w:tc>
        <w:tc>
          <w:tcPr>
            <w:tcW w:w="1343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1.215–1.814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  <w:t>0.027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0.186*</w:t>
            </w:r>
          </w:p>
        </w:tc>
      </w:tr>
      <w:tr w:rsidR="00D96DF2" w:rsidRPr="00D96DF2" w:rsidTr="00177A7B">
        <w:trPr>
          <w:trHeight w:val="834"/>
        </w:trPr>
        <w:tc>
          <w:tcPr>
            <w:tcW w:w="198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proofErr w:type="spellStart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lastRenderedPageBreak/>
              <w:t>Haptoglobin</w:t>
            </w:r>
            <w:proofErr w:type="spellEnd"/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0.037 </w:t>
            </w:r>
          </w:p>
        </w:tc>
        <w:tc>
          <w:tcPr>
            <w:tcW w:w="1414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0.008–0.059</w:t>
            </w:r>
          </w:p>
        </w:tc>
        <w:tc>
          <w:tcPr>
            <w:tcW w:w="1537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0.039 </w:t>
            </w:r>
          </w:p>
        </w:tc>
        <w:tc>
          <w:tcPr>
            <w:tcW w:w="1343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0.013–0.101</w:t>
            </w:r>
          </w:p>
        </w:tc>
        <w:tc>
          <w:tcPr>
            <w:tcW w:w="1530" w:type="dxa"/>
            <w:shd w:val="clear" w:color="auto" w:fill="auto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0.681</w:t>
            </w:r>
          </w:p>
        </w:tc>
      </w:tr>
      <w:tr w:rsidR="00D96DF2" w:rsidRPr="00D96DF2" w:rsidTr="00177A7B">
        <w:trPr>
          <w:trHeight w:val="834"/>
        </w:trPr>
        <w:tc>
          <w:tcPr>
            <w:tcW w:w="198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A-2M (g/L)</w:t>
            </w:r>
          </w:p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  <w:tc>
          <w:tcPr>
            <w:tcW w:w="1466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0.310 </w:t>
            </w:r>
          </w:p>
        </w:tc>
        <w:tc>
          <w:tcPr>
            <w:tcW w:w="1414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0.114–0.974</w:t>
            </w:r>
          </w:p>
        </w:tc>
        <w:tc>
          <w:tcPr>
            <w:tcW w:w="1537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0.663 </w:t>
            </w:r>
          </w:p>
        </w:tc>
        <w:tc>
          <w:tcPr>
            <w:tcW w:w="1343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0.097–1.430</w:t>
            </w:r>
          </w:p>
        </w:tc>
        <w:tc>
          <w:tcPr>
            <w:tcW w:w="1530" w:type="dxa"/>
            <w:shd w:val="clear" w:color="auto" w:fill="CCCCCC"/>
          </w:tcPr>
          <w:p w:rsidR="00D96DF2" w:rsidRPr="00D96DF2" w:rsidRDefault="00D96DF2" w:rsidP="00D96D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0"/>
                <w:tab w:val="left" w:pos="540"/>
                <w:tab w:val="left" w:pos="810"/>
              </w:tabs>
              <w:spacing w:after="0" w:line="240" w:lineRule="auto"/>
              <w:ind w:right="386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D96DF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GB"/>
              </w:rPr>
              <w:t>0.723</w:t>
            </w:r>
          </w:p>
        </w:tc>
      </w:tr>
    </w:tbl>
    <w:p w:rsidR="00D96DF2" w:rsidRPr="00D96DF2" w:rsidRDefault="00D96DF2" w:rsidP="00D96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  <w:tab w:val="left" w:pos="540"/>
          <w:tab w:val="left" w:pos="810"/>
        </w:tabs>
        <w:spacing w:after="0" w:line="240" w:lineRule="auto"/>
        <w:ind w:right="38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</w:pPr>
      <w:r w:rsidRPr="00D96DF2">
        <w:rPr>
          <w:rFonts w:ascii="Calibri" w:eastAsia="+mn-ea" w:hAnsi="Calibri" w:cs="Calibri"/>
          <w:bCs/>
          <w:color w:val="000000"/>
          <w:kern w:val="24"/>
          <w:sz w:val="20"/>
          <w:szCs w:val="20"/>
          <w:highlight w:val="lightGray"/>
          <w:u w:color="000000"/>
          <w:bdr w:val="nil"/>
          <w:lang w:val="en-GB"/>
        </w:rPr>
        <w:t xml:space="preserve">AST, aspartate aminotransferase; ALT, alanine aminotransferase; </w:t>
      </w: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GGT, g-</w:t>
      </w:r>
      <w:proofErr w:type="spellStart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glutamyl</w:t>
      </w:r>
      <w:proofErr w:type="spellEnd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 transferase; </w:t>
      </w:r>
      <w:proofErr w:type="spellStart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TBil</w:t>
      </w:r>
      <w:proofErr w:type="spellEnd"/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, total bilirubin; Apo A-1, apolipoprotein A-1; A-2M, alpha-2 macroglobulin; IQR, interquartile range; </w:t>
      </w:r>
      <w:r w:rsidRPr="00D96DF2">
        <w:rPr>
          <w:rFonts w:ascii="Calibri" w:eastAsia="Calibri" w:hAnsi="Calibri" w:cs="Calibri"/>
          <w:bCs/>
          <w:color w:val="000000"/>
          <w:sz w:val="20"/>
          <w:szCs w:val="20"/>
          <w:highlight w:val="lightGray"/>
          <w:u w:color="000000"/>
          <w:bdr w:val="nil"/>
          <w:lang w:val="en-GB"/>
        </w:rPr>
        <w:t>IU/L</w:t>
      </w:r>
      <w:r w:rsidRPr="00D96DF2">
        <w:rPr>
          <w:rFonts w:ascii="Calibri" w:eastAsia="+mn-ea" w:hAnsi="Calibri" w:cs="Calibri"/>
          <w:bCs/>
          <w:color w:val="000000"/>
          <w:kern w:val="24"/>
          <w:sz w:val="20"/>
          <w:szCs w:val="20"/>
          <w:highlight w:val="lightGray"/>
          <w:u w:color="000000"/>
          <w:bdr w:val="nil"/>
          <w:lang w:val="en-GB"/>
        </w:rPr>
        <w:t>.</w:t>
      </w:r>
    </w:p>
    <w:p w:rsidR="00D96DF2" w:rsidRPr="00D96DF2" w:rsidRDefault="00D96DF2" w:rsidP="00D96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  <w:tab w:val="left" w:pos="540"/>
          <w:tab w:val="left" w:pos="810"/>
        </w:tabs>
        <w:spacing w:after="0" w:line="240" w:lineRule="auto"/>
        <w:ind w:right="38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GB"/>
        </w:rPr>
      </w:pP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 xml:space="preserve">*, Bonferroni adjusted </w:t>
      </w:r>
      <w:r w:rsidRPr="00D96DF2">
        <w:rPr>
          <w:rFonts w:ascii="Calibri" w:eastAsia="Calibri" w:hAnsi="Calibri" w:cs="Calibri"/>
          <w:i/>
          <w:color w:val="000000"/>
          <w:sz w:val="20"/>
          <w:szCs w:val="20"/>
          <w:highlight w:val="lightGray"/>
          <w:u w:color="000000"/>
          <w:bdr w:val="nil"/>
          <w:lang w:val="en-GB"/>
        </w:rPr>
        <w:t>p</w:t>
      </w:r>
      <w:r w:rsidRPr="00D96DF2">
        <w:rPr>
          <w:rFonts w:ascii="Calibri" w:eastAsia="Calibri" w:hAnsi="Calibri" w:cs="Calibri"/>
          <w:color w:val="000000"/>
          <w:sz w:val="20"/>
          <w:szCs w:val="20"/>
          <w:highlight w:val="lightGray"/>
          <w:u w:color="000000"/>
          <w:bdr w:val="nil"/>
          <w:lang w:val="en-GB"/>
        </w:rPr>
        <w:t>-value</w:t>
      </w:r>
    </w:p>
    <w:p w:rsidR="00D96DF2" w:rsidRPr="00D96DF2" w:rsidRDefault="00D96DF2" w:rsidP="00D96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  <w:tab w:val="left" w:pos="540"/>
          <w:tab w:val="left" w:pos="810"/>
        </w:tabs>
        <w:spacing w:after="0" w:line="360" w:lineRule="auto"/>
        <w:ind w:right="386"/>
        <w:contextualSpacing/>
        <w:jc w:val="both"/>
        <w:rPr>
          <w:rFonts w:ascii="Palatino" w:eastAsia="Calibri" w:hAnsi="Palatino" w:cs="Times New Roman"/>
          <w:color w:val="000000"/>
          <w:sz w:val="24"/>
          <w:szCs w:val="24"/>
          <w:u w:color="000000"/>
          <w:bdr w:val="nil"/>
          <w:lang w:val="en-GB"/>
        </w:rPr>
      </w:pPr>
    </w:p>
    <w:p w:rsidR="0050162B" w:rsidRDefault="00D96DF2" w:rsidP="00D96DF2">
      <w:r w:rsidRPr="00D96DF2">
        <w:rPr>
          <w:rFonts w:ascii="Palatino" w:eastAsia="Calibri" w:hAnsi="Palatino" w:cs="Times New Roman"/>
          <w:b/>
          <w:color w:val="000000"/>
          <w:sz w:val="24"/>
          <w:szCs w:val="24"/>
          <w:u w:color="000000"/>
          <w:bdr w:val="nil"/>
          <w:lang w:val="en-GB"/>
        </w:rPr>
        <w:br w:type="page"/>
      </w:r>
      <w:bookmarkStart w:id="0" w:name="_GoBack"/>
      <w:bookmarkEnd w:id="0"/>
      <w:r w:rsidRPr="00D96DF2">
        <w:rPr>
          <w:rFonts w:ascii="Palatino" w:eastAsia="Calibri" w:hAnsi="Palatino" w:cs="Times New Roman"/>
          <w:b/>
          <w:color w:val="000000"/>
          <w:sz w:val="24"/>
          <w:szCs w:val="24"/>
          <w:u w:color="000000"/>
          <w:bdr w:val="nil"/>
          <w:lang w:val="en-GB"/>
        </w:rPr>
        <w:lastRenderedPageBreak/>
        <w:br w:type="page"/>
      </w:r>
    </w:p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F2"/>
    <w:rsid w:val="0050162B"/>
    <w:rsid w:val="00910170"/>
    <w:rsid w:val="00D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2019-04-02T07:50:00Z</dcterms:created>
  <dcterms:modified xsi:type="dcterms:W3CDTF">2019-04-02T07:52:00Z</dcterms:modified>
</cp:coreProperties>
</file>